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富临精工废品回收招标公告</w:t>
      </w:r>
    </w:p>
    <w:p>
      <w:pPr>
        <w:rPr>
          <w:rFonts w:ascii="仿宋" w:hAnsi="仿宋" w:eastAsia="仿宋"/>
          <w:sz w:val="32"/>
          <w:szCs w:val="32"/>
        </w:rPr>
      </w:pPr>
      <w:r>
        <w:rPr>
          <w:rFonts w:hint="eastAsia" w:ascii="仿宋" w:hAnsi="仿宋" w:eastAsia="仿宋"/>
          <w:sz w:val="32"/>
          <w:szCs w:val="32"/>
        </w:rPr>
        <w:t>各回收利用单位：</w:t>
      </w:r>
    </w:p>
    <w:p>
      <w:pPr>
        <w:ind w:firstLine="645"/>
        <w:rPr>
          <w:rFonts w:ascii="仿宋" w:hAnsi="仿宋" w:eastAsia="仿宋"/>
          <w:sz w:val="32"/>
          <w:szCs w:val="32"/>
        </w:rPr>
      </w:pPr>
      <w:r>
        <w:rPr>
          <w:rFonts w:hint="eastAsia" w:ascii="仿宋" w:hAnsi="仿宋" w:eastAsia="仿宋"/>
          <w:sz w:val="32"/>
          <w:szCs w:val="32"/>
        </w:rPr>
        <w:t>为合理处理我公司生产制造过程中的废钢产品及冲压废钢材料，废不锈钢产品、不锈钢屑；废纸箱、吸塑盒，本着“公开、公平、公正”的原则，我公司定于2021年</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28</w:t>
      </w:r>
      <w:r>
        <w:rPr>
          <w:rFonts w:hint="eastAsia" w:ascii="仿宋" w:hAnsi="仿宋" w:eastAsia="仿宋"/>
          <w:sz w:val="32"/>
          <w:szCs w:val="32"/>
        </w:rPr>
        <w:t>日对我司废品处置进行公开招标。具体事项如下：</w:t>
      </w:r>
    </w:p>
    <w:p>
      <w:pPr>
        <w:ind w:firstLine="640" w:firstLineChars="200"/>
        <w:rPr>
          <w:rFonts w:ascii="仿宋" w:hAnsi="仿宋" w:eastAsia="仿宋"/>
          <w:sz w:val="32"/>
          <w:szCs w:val="32"/>
        </w:rPr>
      </w:pPr>
      <w:r>
        <w:rPr>
          <w:rFonts w:hint="eastAsia" w:ascii="仿宋" w:hAnsi="仿宋" w:eastAsia="仿宋"/>
          <w:sz w:val="32"/>
          <w:szCs w:val="32"/>
        </w:rPr>
        <w:t>一、招标内容：</w:t>
      </w:r>
    </w:p>
    <w:p>
      <w:pPr>
        <w:pStyle w:val="12"/>
        <w:numPr>
          <w:ilvl w:val="0"/>
          <w:numId w:val="1"/>
        </w:numPr>
        <w:ind w:firstLineChars="0"/>
        <w:rPr>
          <w:rFonts w:ascii="仿宋" w:hAnsi="仿宋" w:eastAsia="仿宋"/>
          <w:sz w:val="32"/>
          <w:szCs w:val="32"/>
        </w:rPr>
      </w:pPr>
      <w:r>
        <w:rPr>
          <w:rFonts w:hint="eastAsia" w:ascii="仿宋" w:hAnsi="仿宋" w:eastAsia="仿宋"/>
          <w:sz w:val="32"/>
          <w:szCs w:val="32"/>
        </w:rPr>
        <w:t>废钢产品及冲压废钢材料，废不锈钢产品、不锈钢屑。</w:t>
      </w:r>
    </w:p>
    <w:p>
      <w:pPr>
        <w:pStyle w:val="12"/>
        <w:numPr>
          <w:ilvl w:val="0"/>
          <w:numId w:val="1"/>
        </w:numPr>
        <w:ind w:firstLineChars="0"/>
        <w:rPr>
          <w:rFonts w:ascii="仿宋" w:hAnsi="仿宋" w:eastAsia="仿宋"/>
          <w:sz w:val="32"/>
          <w:szCs w:val="32"/>
        </w:rPr>
      </w:pPr>
      <w:r>
        <w:rPr>
          <w:rFonts w:hint="eastAsia" w:ascii="仿宋" w:hAnsi="仿宋" w:eastAsia="仿宋"/>
          <w:sz w:val="32"/>
          <w:szCs w:val="32"/>
        </w:rPr>
        <w:t>废纸箱、吸塑盒。</w:t>
      </w:r>
    </w:p>
    <w:p>
      <w:pPr>
        <w:pStyle w:val="12"/>
        <w:numPr>
          <w:ilvl w:val="0"/>
          <w:numId w:val="2"/>
        </w:numPr>
        <w:ind w:firstLineChars="0"/>
        <w:rPr>
          <w:rFonts w:ascii="仿宋" w:hAnsi="仿宋" w:eastAsia="仿宋"/>
          <w:sz w:val="32"/>
          <w:szCs w:val="32"/>
        </w:rPr>
      </w:pPr>
      <w:r>
        <w:rPr>
          <w:rFonts w:hint="eastAsia" w:ascii="仿宋" w:hAnsi="仿宋" w:eastAsia="仿宋"/>
          <w:sz w:val="32"/>
          <w:szCs w:val="32"/>
        </w:rPr>
        <w:t>投标须知：详见《投标说明书》。</w:t>
      </w:r>
    </w:p>
    <w:p>
      <w:pPr>
        <w:pStyle w:val="12"/>
        <w:numPr>
          <w:ilvl w:val="0"/>
          <w:numId w:val="2"/>
        </w:numPr>
        <w:ind w:firstLineChars="0"/>
        <w:rPr>
          <w:rFonts w:ascii="仿宋" w:hAnsi="仿宋" w:eastAsia="仿宋"/>
          <w:sz w:val="32"/>
          <w:szCs w:val="32"/>
        </w:rPr>
      </w:pPr>
      <w:r>
        <w:rPr>
          <w:rFonts w:hint="eastAsia" w:ascii="仿宋" w:hAnsi="仿宋" w:eastAsia="仿宋"/>
          <w:sz w:val="32"/>
          <w:szCs w:val="32"/>
        </w:rPr>
        <w:t>履约时间：详见《投标说明书》。</w:t>
      </w:r>
    </w:p>
    <w:p>
      <w:pPr>
        <w:pStyle w:val="12"/>
        <w:numPr>
          <w:ilvl w:val="0"/>
          <w:numId w:val="2"/>
        </w:numPr>
        <w:ind w:firstLineChars="0"/>
        <w:rPr>
          <w:rFonts w:ascii="仿宋" w:hAnsi="仿宋" w:eastAsia="仿宋"/>
          <w:sz w:val="32"/>
          <w:szCs w:val="32"/>
        </w:rPr>
      </w:pPr>
      <w:r>
        <w:rPr>
          <w:rFonts w:hint="eastAsia" w:ascii="仿宋" w:hAnsi="仿宋" w:eastAsia="仿宋"/>
          <w:sz w:val="32"/>
          <w:szCs w:val="32"/>
        </w:rPr>
        <w:t>招标文件发放时间及地点：</w:t>
      </w:r>
    </w:p>
    <w:p>
      <w:pPr>
        <w:ind w:firstLine="640" w:firstLineChars="200"/>
        <w:rPr>
          <w:rFonts w:ascii="仿宋" w:hAnsi="仿宋" w:eastAsia="仿宋"/>
          <w:sz w:val="32"/>
          <w:szCs w:val="32"/>
        </w:rPr>
      </w:pPr>
      <w:r>
        <w:rPr>
          <w:rFonts w:hint="eastAsia" w:ascii="仿宋" w:hAnsi="仿宋" w:eastAsia="仿宋"/>
          <w:sz w:val="32"/>
          <w:szCs w:val="32"/>
        </w:rPr>
        <w:t>2021年5月16日在富临集团及富临精工网站发放。</w:t>
      </w:r>
    </w:p>
    <w:p>
      <w:pPr>
        <w:pStyle w:val="12"/>
        <w:numPr>
          <w:ilvl w:val="0"/>
          <w:numId w:val="2"/>
        </w:numPr>
        <w:ind w:firstLineChars="0"/>
        <w:rPr>
          <w:rFonts w:ascii="仿宋" w:hAnsi="仿宋" w:eastAsia="仿宋"/>
          <w:sz w:val="32"/>
          <w:szCs w:val="32"/>
        </w:rPr>
      </w:pPr>
      <w:r>
        <w:rPr>
          <w:rFonts w:hint="eastAsia" w:ascii="仿宋" w:hAnsi="仿宋" w:eastAsia="仿宋"/>
          <w:sz w:val="32"/>
          <w:szCs w:val="32"/>
        </w:rPr>
        <w:t>截止时间：</w:t>
      </w:r>
    </w:p>
    <w:p>
      <w:pPr>
        <w:ind w:firstLine="640" w:firstLineChars="200"/>
        <w:rPr>
          <w:rFonts w:ascii="仿宋" w:hAnsi="仿宋" w:eastAsia="仿宋"/>
          <w:sz w:val="32"/>
          <w:szCs w:val="32"/>
        </w:rPr>
      </w:pPr>
      <w:r>
        <w:rPr>
          <w:rFonts w:hint="eastAsia" w:ascii="仿宋" w:hAnsi="仿宋" w:eastAsia="仿宋"/>
          <w:sz w:val="32"/>
          <w:szCs w:val="32"/>
        </w:rPr>
        <w:t>2021年5月</w:t>
      </w:r>
      <w:r>
        <w:rPr>
          <w:rFonts w:ascii="仿宋" w:hAnsi="仿宋" w:eastAsia="仿宋"/>
          <w:sz w:val="32"/>
          <w:szCs w:val="32"/>
        </w:rPr>
        <w:t>26</w:t>
      </w:r>
      <w:r>
        <w:rPr>
          <w:rFonts w:hint="eastAsia" w:ascii="仿宋" w:hAnsi="仿宋" w:eastAsia="仿宋"/>
          <w:sz w:val="32"/>
          <w:szCs w:val="32"/>
        </w:rPr>
        <w:t>日，投标单位必须在此时间前，将投标文件（包括投标书和资格证明资料）直接送到富临精工股份有限公司人事行政部，逾期的投标文件将被拒绝。</w:t>
      </w:r>
    </w:p>
    <w:p>
      <w:pPr>
        <w:pStyle w:val="12"/>
        <w:numPr>
          <w:ilvl w:val="0"/>
          <w:numId w:val="2"/>
        </w:numPr>
        <w:ind w:firstLineChars="0"/>
        <w:rPr>
          <w:rFonts w:ascii="仿宋" w:hAnsi="仿宋" w:eastAsia="仿宋"/>
          <w:sz w:val="32"/>
          <w:szCs w:val="32"/>
        </w:rPr>
      </w:pPr>
      <w:r>
        <w:rPr>
          <w:rFonts w:hint="eastAsia" w:ascii="仿宋" w:hAnsi="仿宋" w:eastAsia="仿宋"/>
          <w:sz w:val="32"/>
          <w:szCs w:val="32"/>
        </w:rPr>
        <w:t>投标地点：</w:t>
      </w:r>
    </w:p>
    <w:p>
      <w:pPr>
        <w:ind w:left="645"/>
        <w:rPr>
          <w:rFonts w:ascii="仿宋" w:hAnsi="仿宋" w:eastAsia="仿宋"/>
          <w:sz w:val="32"/>
          <w:szCs w:val="32"/>
        </w:rPr>
      </w:pPr>
      <w:r>
        <w:rPr>
          <w:rFonts w:hint="eastAsia" w:ascii="仿宋" w:hAnsi="仿宋" w:eastAsia="仿宋"/>
          <w:sz w:val="32"/>
          <w:szCs w:val="32"/>
        </w:rPr>
        <w:t>富临精工股份有限公司一期办公楼三楼314人事行政部</w:t>
      </w:r>
    </w:p>
    <w:p>
      <w:pPr>
        <w:pStyle w:val="12"/>
        <w:numPr>
          <w:ilvl w:val="0"/>
          <w:numId w:val="2"/>
        </w:numPr>
        <w:ind w:firstLineChars="0"/>
        <w:rPr>
          <w:rFonts w:ascii="仿宋" w:hAnsi="仿宋" w:eastAsia="仿宋"/>
          <w:sz w:val="32"/>
          <w:szCs w:val="32"/>
        </w:rPr>
      </w:pPr>
      <w:r>
        <w:rPr>
          <w:rFonts w:hint="eastAsia" w:ascii="仿宋" w:hAnsi="仿宋" w:eastAsia="仿宋"/>
          <w:sz w:val="32"/>
          <w:szCs w:val="32"/>
        </w:rPr>
        <w:t>开标时间：2021年</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28</w:t>
      </w:r>
      <w:r>
        <w:rPr>
          <w:rFonts w:hint="eastAsia" w:ascii="仿宋" w:hAnsi="仿宋" w:eastAsia="仿宋"/>
          <w:sz w:val="32"/>
          <w:szCs w:val="32"/>
        </w:rPr>
        <w:t>日</w:t>
      </w:r>
    </w:p>
    <w:p>
      <w:pPr>
        <w:bidi w:val="0"/>
      </w:pPr>
      <w:r>
        <w:rPr>
          <w:rFonts w:hint="eastAsia"/>
        </w:rPr>
        <w:t>七、开标地点：富临精工股份有限公司一期办公楼111会议室</w:t>
      </w:r>
    </w:p>
    <w:p>
      <w:pPr>
        <w:ind w:left="645"/>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富临精工股份有限公司</w:t>
      </w:r>
    </w:p>
    <w:p>
      <w:pPr>
        <w:ind w:left="645"/>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2021年5月16日</w:t>
      </w: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rPr>
          <w:rFonts w:ascii="仿宋" w:hAnsi="仿宋" w:eastAsia="仿宋"/>
          <w:sz w:val="32"/>
          <w:szCs w:val="32"/>
        </w:rPr>
      </w:pPr>
    </w:p>
    <w:p>
      <w:pPr>
        <w:ind w:left="645"/>
        <w:jc w:val="center"/>
        <w:rPr>
          <w:rFonts w:hint="eastAsia" w:ascii="黑体" w:hAnsi="黑体" w:eastAsia="黑体"/>
          <w:sz w:val="44"/>
          <w:szCs w:val="44"/>
        </w:rPr>
      </w:pPr>
    </w:p>
    <w:p>
      <w:pPr>
        <w:ind w:left="645"/>
        <w:jc w:val="center"/>
        <w:rPr>
          <w:rFonts w:ascii="黑体" w:hAnsi="黑体" w:eastAsia="黑体"/>
          <w:sz w:val="44"/>
          <w:szCs w:val="44"/>
        </w:rPr>
      </w:pPr>
      <w:bookmarkStart w:id="0" w:name="_GoBack"/>
      <w:bookmarkEnd w:id="0"/>
      <w:r>
        <w:rPr>
          <w:rFonts w:hint="eastAsia" w:ascii="黑体" w:hAnsi="黑体" w:eastAsia="黑体"/>
          <w:sz w:val="44"/>
          <w:szCs w:val="44"/>
        </w:rPr>
        <w:t>投标说明书</w:t>
      </w:r>
    </w:p>
    <w:p>
      <w:pPr>
        <w:pStyle w:val="12"/>
        <w:numPr>
          <w:ilvl w:val="0"/>
          <w:numId w:val="3"/>
        </w:numPr>
        <w:ind w:firstLineChars="0"/>
        <w:rPr>
          <w:rFonts w:ascii="仿宋" w:hAnsi="仿宋" w:eastAsia="仿宋"/>
          <w:sz w:val="32"/>
          <w:szCs w:val="32"/>
        </w:rPr>
      </w:pPr>
      <w:r>
        <w:rPr>
          <w:rFonts w:hint="eastAsia" w:ascii="仿宋" w:hAnsi="仿宋" w:eastAsia="仿宋"/>
          <w:sz w:val="32"/>
          <w:szCs w:val="32"/>
        </w:rPr>
        <w:t>投标资格要求</w:t>
      </w:r>
    </w:p>
    <w:p>
      <w:pPr>
        <w:ind w:firstLine="640" w:firstLineChars="200"/>
        <w:rPr>
          <w:rFonts w:ascii="仿宋" w:hAnsi="仿宋" w:eastAsia="仿宋"/>
          <w:sz w:val="32"/>
          <w:szCs w:val="32"/>
        </w:rPr>
      </w:pPr>
      <w:r>
        <w:rPr>
          <w:rFonts w:hint="eastAsia" w:ascii="仿宋" w:hAnsi="仿宋" w:eastAsia="仿宋"/>
          <w:sz w:val="32"/>
          <w:szCs w:val="32"/>
        </w:rPr>
        <w:t>（一）持有工商行政管理局核发的有效《企业法人营业执照》、国税机关核发的有效《税务登记证》。注册资金100万元以上，相关回收资质齐全。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（二）按规定缴纳2万元的投标保证金，如有违规，对所付的保证金愿意由接受保证金的单位作罚款处理。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（三）如供应商回收利用，在上述条件下需给出降本目标且价格在最高价格3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以内作为优先条件。</w:t>
      </w:r>
    </w:p>
    <w:p>
      <w:pPr>
        <w:pStyle w:val="12"/>
        <w:numPr>
          <w:ilvl w:val="0"/>
          <w:numId w:val="3"/>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投标书组成：</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（一）阳光招标告知函（附件一）</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（二）报价单（附件二）</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（三）承诺函（附件三）</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（四）授权委托书（附件四）</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（五）《营业执照复印件》复印件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（六）《税务登记证》复印件</w:t>
      </w:r>
    </w:p>
    <w:p>
      <w:pPr>
        <w:pStyle w:val="12"/>
        <w:numPr>
          <w:ilvl w:val="0"/>
          <w:numId w:val="3"/>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标的物：</w:t>
      </w:r>
    </w:p>
    <w:p>
      <w:pPr>
        <w:ind w:left="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本招标书的标的物分别为：</w:t>
      </w:r>
    </w:p>
    <w:p>
      <w:pPr>
        <w:ind w:firstLine="640" w:firstLineChars="200"/>
        <w:rPr>
          <w:rFonts w:ascii="仿宋" w:hAnsi="仿宋" w:eastAsia="仿宋"/>
          <w:sz w:val="32"/>
          <w:szCs w:val="32"/>
        </w:rPr>
      </w:pPr>
      <w:r>
        <w:rPr>
          <w:rFonts w:hint="eastAsia" w:ascii="仿宋" w:hAnsi="仿宋" w:eastAsia="仿宋"/>
          <w:sz w:val="32"/>
          <w:szCs w:val="32"/>
        </w:rPr>
        <w:t>（一）废钢产品及冲压废钢材料，废不锈钢产品、不锈钢屑。</w:t>
      </w:r>
    </w:p>
    <w:p>
      <w:pPr>
        <w:pStyle w:val="12"/>
        <w:numPr>
          <w:ilvl w:val="0"/>
          <w:numId w:val="4"/>
        </w:numPr>
        <w:ind w:firstLineChars="0"/>
        <w:rPr>
          <w:rFonts w:ascii="仿宋" w:hAnsi="仿宋" w:eastAsia="仿宋"/>
          <w:sz w:val="32"/>
          <w:szCs w:val="32"/>
        </w:rPr>
      </w:pPr>
      <w:r>
        <w:rPr>
          <w:rFonts w:hint="eastAsia" w:ascii="仿宋" w:hAnsi="仿宋" w:eastAsia="仿宋"/>
          <w:sz w:val="32"/>
          <w:szCs w:val="32"/>
        </w:rPr>
        <w:t>废纸箱、吸塑盒。</w:t>
      </w:r>
    </w:p>
    <w:p>
      <w:pPr>
        <w:ind w:left="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以下统称废品。</w:t>
      </w:r>
    </w:p>
    <w:p>
      <w:pPr>
        <w:pStyle w:val="12"/>
        <w:numPr>
          <w:ilvl w:val="0"/>
          <w:numId w:val="3"/>
        </w:numPr>
        <w:ind w:firstLineChars="0"/>
        <w:rPr>
          <w:rFonts w:ascii="仿宋" w:hAnsi="仿宋" w:eastAsia="仿宋"/>
          <w:sz w:val="32"/>
          <w:szCs w:val="32"/>
        </w:rPr>
      </w:pPr>
      <w:r>
        <w:rPr>
          <w:rFonts w:hint="eastAsia" w:ascii="仿宋" w:hAnsi="仿宋" w:eastAsia="仿宋"/>
          <w:sz w:val="32"/>
          <w:szCs w:val="32"/>
        </w:rPr>
        <w:t>相关费用处理</w:t>
      </w:r>
    </w:p>
    <w:p>
      <w:pPr>
        <w:ind w:firstLine="640" w:firstLineChars="200"/>
        <w:rPr>
          <w:rFonts w:ascii="仿宋" w:hAnsi="仿宋" w:eastAsia="仿宋"/>
          <w:sz w:val="32"/>
          <w:szCs w:val="32"/>
        </w:rPr>
      </w:pPr>
      <w:r>
        <w:rPr>
          <w:rFonts w:hint="eastAsia" w:ascii="仿宋" w:hAnsi="仿宋" w:eastAsia="仿宋"/>
          <w:sz w:val="32"/>
          <w:szCs w:val="32"/>
        </w:rPr>
        <w:t>（一）投标费用：</w:t>
      </w:r>
    </w:p>
    <w:p>
      <w:pPr>
        <w:ind w:firstLine="640" w:firstLineChars="200"/>
        <w:rPr>
          <w:rFonts w:ascii="仿宋" w:hAnsi="仿宋" w:eastAsia="仿宋"/>
          <w:sz w:val="32"/>
          <w:szCs w:val="32"/>
        </w:rPr>
      </w:pPr>
      <w:r>
        <w:rPr>
          <w:rFonts w:hint="eastAsia" w:ascii="仿宋" w:hAnsi="仿宋" w:eastAsia="仿宋"/>
          <w:sz w:val="32"/>
          <w:szCs w:val="32"/>
        </w:rPr>
        <w:t>投标人需承担与投标有关的自身所发生的所有费用，包括标书准备、提交、以及相关费用。无论投标结果如何，招标方不承担任何类似相关费用。投标方在我公司规定日期内免费领取招标书。</w:t>
      </w:r>
    </w:p>
    <w:p>
      <w:pPr>
        <w:ind w:firstLine="640" w:firstLineChars="200"/>
        <w:rPr>
          <w:rFonts w:ascii="仿宋" w:hAnsi="仿宋" w:eastAsia="仿宋"/>
          <w:sz w:val="32"/>
          <w:szCs w:val="32"/>
        </w:rPr>
      </w:pPr>
      <w:r>
        <w:rPr>
          <w:rFonts w:hint="eastAsia" w:ascii="仿宋" w:hAnsi="仿宋" w:eastAsia="仿宋"/>
          <w:sz w:val="32"/>
          <w:szCs w:val="32"/>
        </w:rPr>
        <w:t>（二）投标保证金：</w:t>
      </w:r>
    </w:p>
    <w:p>
      <w:pPr>
        <w:ind w:firstLine="640" w:firstLineChars="200"/>
        <w:rPr>
          <w:rFonts w:ascii="仿宋" w:hAnsi="仿宋" w:eastAsia="仿宋"/>
          <w:sz w:val="32"/>
          <w:szCs w:val="32"/>
        </w:rPr>
      </w:pPr>
      <w:r>
        <w:rPr>
          <w:rFonts w:hint="eastAsia" w:ascii="仿宋" w:hAnsi="仿宋" w:eastAsia="仿宋"/>
          <w:sz w:val="32"/>
          <w:szCs w:val="32"/>
        </w:rPr>
        <w:t>1、投标单位须在开标日前（</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28</w:t>
      </w:r>
      <w:r>
        <w:rPr>
          <w:rFonts w:hint="eastAsia" w:ascii="仿宋" w:hAnsi="仿宋" w:eastAsia="仿宋"/>
          <w:sz w:val="32"/>
          <w:szCs w:val="32"/>
        </w:rPr>
        <w:t>日）向我公司交纳2万元作为投标保证金。</w:t>
      </w:r>
    </w:p>
    <w:p>
      <w:pPr>
        <w:ind w:firstLine="640" w:firstLineChars="200"/>
        <w:rPr>
          <w:rFonts w:ascii="仿宋" w:hAnsi="仿宋" w:eastAsia="仿宋"/>
          <w:sz w:val="32"/>
          <w:szCs w:val="32"/>
        </w:rPr>
      </w:pPr>
      <w:r>
        <w:rPr>
          <w:rFonts w:hint="eastAsia" w:ascii="仿宋" w:hAnsi="仿宋" w:eastAsia="仿宋"/>
          <w:sz w:val="32"/>
          <w:szCs w:val="32"/>
        </w:rPr>
        <w:t>2、投标单位未按规定交纳投标保证金，其投标将被拒绝。</w:t>
      </w:r>
    </w:p>
    <w:p>
      <w:pPr>
        <w:ind w:firstLine="640" w:firstLineChars="200"/>
        <w:rPr>
          <w:rFonts w:ascii="仿宋" w:hAnsi="仿宋" w:eastAsia="仿宋"/>
          <w:sz w:val="32"/>
          <w:szCs w:val="32"/>
        </w:rPr>
      </w:pPr>
      <w:r>
        <w:rPr>
          <w:rFonts w:hint="eastAsia" w:ascii="仿宋" w:hAnsi="仿宋" w:eastAsia="仿宋"/>
          <w:sz w:val="32"/>
          <w:szCs w:val="32"/>
        </w:rPr>
        <w:t>3、相关规定：</w:t>
      </w:r>
    </w:p>
    <w:p>
      <w:pPr>
        <w:ind w:firstLine="640" w:firstLineChars="200"/>
        <w:rPr>
          <w:rFonts w:ascii="仿宋" w:hAnsi="仿宋" w:eastAsia="仿宋"/>
          <w:sz w:val="32"/>
          <w:szCs w:val="32"/>
        </w:rPr>
      </w:pPr>
      <w:r>
        <w:rPr>
          <w:rFonts w:hint="eastAsia" w:ascii="仿宋" w:hAnsi="仿宋" w:eastAsia="仿宋"/>
          <w:sz w:val="32"/>
          <w:szCs w:val="32"/>
        </w:rPr>
        <w:t>（1）如果投标单位中标，投标保证金自动转为履约保证金。如果投标单位中标后拒绝与我公司签订购销合同，投标保证金将予没收。</w:t>
      </w:r>
    </w:p>
    <w:p>
      <w:pPr>
        <w:ind w:firstLine="640" w:firstLineChars="200"/>
        <w:rPr>
          <w:rFonts w:ascii="仿宋" w:hAnsi="仿宋" w:eastAsia="仿宋"/>
          <w:sz w:val="32"/>
          <w:szCs w:val="32"/>
        </w:rPr>
      </w:pPr>
      <w:r>
        <w:rPr>
          <w:rFonts w:hint="eastAsia" w:ascii="仿宋" w:hAnsi="仿宋" w:eastAsia="仿宋"/>
          <w:sz w:val="32"/>
          <w:szCs w:val="32"/>
        </w:rPr>
        <w:t>（2）投标单位中标后应在5个工作日内交纳或补足履约保证金，逾期不交的，我公司将不予签订购销合同并没收投标保证金。</w:t>
      </w:r>
    </w:p>
    <w:p>
      <w:pPr>
        <w:ind w:firstLine="640" w:firstLineChars="200"/>
        <w:rPr>
          <w:rFonts w:ascii="仿宋" w:hAnsi="仿宋" w:eastAsia="仿宋"/>
          <w:sz w:val="32"/>
          <w:szCs w:val="32"/>
        </w:rPr>
      </w:pPr>
      <w:r>
        <w:rPr>
          <w:rFonts w:hint="eastAsia" w:ascii="仿宋" w:hAnsi="仿宋" w:eastAsia="仿宋"/>
          <w:sz w:val="32"/>
          <w:szCs w:val="32"/>
        </w:rPr>
        <w:t>（3）未中标的单位投标保证金在招标结束后5个工作日内无息退还。</w:t>
      </w:r>
    </w:p>
    <w:p>
      <w:pPr>
        <w:pStyle w:val="12"/>
        <w:numPr>
          <w:ilvl w:val="0"/>
          <w:numId w:val="3"/>
        </w:numPr>
        <w:ind w:firstLineChars="0"/>
        <w:rPr>
          <w:rFonts w:ascii="仿宋" w:hAnsi="仿宋" w:eastAsia="仿宋"/>
          <w:sz w:val="32"/>
          <w:szCs w:val="32"/>
        </w:rPr>
      </w:pPr>
      <w:r>
        <w:rPr>
          <w:rFonts w:hint="eastAsia" w:ascii="仿宋" w:hAnsi="仿宋" w:eastAsia="仿宋"/>
          <w:sz w:val="32"/>
          <w:szCs w:val="32"/>
        </w:rPr>
        <w:t>招标书形式和要求</w:t>
      </w:r>
    </w:p>
    <w:p>
      <w:pPr>
        <w:ind w:firstLine="640" w:firstLineChars="200"/>
        <w:rPr>
          <w:rFonts w:ascii="仿宋" w:hAnsi="仿宋" w:eastAsia="仿宋"/>
          <w:sz w:val="32"/>
          <w:szCs w:val="32"/>
        </w:rPr>
      </w:pPr>
      <w:r>
        <w:rPr>
          <w:rFonts w:hint="eastAsia" w:ascii="仿宋" w:hAnsi="仿宋" w:eastAsia="仿宋"/>
          <w:sz w:val="32"/>
          <w:szCs w:val="32"/>
        </w:rPr>
        <w:t>（一）投标书应装档案袋或信封内，密封后加盖本单位公章。</w:t>
      </w:r>
    </w:p>
    <w:p>
      <w:pPr>
        <w:ind w:firstLine="640" w:firstLineChars="200"/>
        <w:rPr>
          <w:rFonts w:ascii="仿宋" w:hAnsi="仿宋" w:eastAsia="仿宋"/>
          <w:sz w:val="32"/>
          <w:szCs w:val="32"/>
        </w:rPr>
      </w:pPr>
      <w:r>
        <w:rPr>
          <w:rFonts w:hint="eastAsia" w:ascii="仿宋" w:hAnsi="仿宋" w:eastAsia="仿宋"/>
          <w:sz w:val="32"/>
          <w:szCs w:val="32"/>
        </w:rPr>
        <w:t>（二）报价单和承诺函必须加盖本单位公章，其中报价单请单独放置。</w:t>
      </w:r>
    </w:p>
    <w:p>
      <w:pPr>
        <w:ind w:firstLine="640" w:firstLineChars="200"/>
        <w:rPr>
          <w:rFonts w:ascii="仿宋" w:hAnsi="仿宋" w:eastAsia="仿宋"/>
          <w:sz w:val="32"/>
          <w:szCs w:val="32"/>
        </w:rPr>
      </w:pPr>
      <w:r>
        <w:rPr>
          <w:rFonts w:hint="eastAsia" w:ascii="仿宋" w:hAnsi="仿宋" w:eastAsia="仿宋"/>
          <w:sz w:val="32"/>
          <w:szCs w:val="32"/>
        </w:rPr>
        <w:t>（三）投标方在投标之前应认真阅读本招标书的说明、条件及规定等所有内容，投标方未能遵循此要求而造成的对本标书所要求投标方提供的任何资料、信息、数据的遗漏或任何非针对招标书要求项目的报价均须自担风险，并承担可能导致其标书被废的后果。</w:t>
      </w:r>
    </w:p>
    <w:p>
      <w:pPr>
        <w:pStyle w:val="12"/>
        <w:numPr>
          <w:ilvl w:val="0"/>
          <w:numId w:val="3"/>
        </w:numPr>
        <w:ind w:firstLineChars="0"/>
        <w:rPr>
          <w:rFonts w:ascii="仿宋" w:hAnsi="仿宋" w:eastAsia="仿宋"/>
          <w:sz w:val="32"/>
          <w:szCs w:val="32"/>
        </w:rPr>
      </w:pPr>
      <w:r>
        <w:rPr>
          <w:rFonts w:hint="eastAsia" w:ascii="仿宋" w:hAnsi="仿宋" w:eastAsia="仿宋"/>
          <w:sz w:val="32"/>
          <w:szCs w:val="32"/>
        </w:rPr>
        <w:t>标的物及计量</w:t>
      </w:r>
    </w:p>
    <w:p>
      <w:pPr>
        <w:ind w:firstLine="640" w:firstLineChars="200"/>
        <w:rPr>
          <w:rFonts w:ascii="仿宋" w:hAnsi="仿宋" w:eastAsia="仿宋"/>
          <w:sz w:val="32"/>
          <w:szCs w:val="32"/>
        </w:rPr>
      </w:pPr>
      <w:r>
        <w:rPr>
          <w:rFonts w:hint="eastAsia" w:ascii="仿宋" w:hAnsi="仿宋" w:eastAsia="仿宋"/>
          <w:sz w:val="32"/>
          <w:szCs w:val="32"/>
        </w:rPr>
        <w:t>（一）经我公司仓库工作人员、行政工作人员确认并申请报废集中处理的废品，由行政、仓库管理人员监督过磅后，开具废品集中处理出门单，到场人员签字确认后有效。</w:t>
      </w:r>
    </w:p>
    <w:p>
      <w:pPr>
        <w:ind w:firstLine="640" w:firstLineChars="200"/>
        <w:rPr>
          <w:rFonts w:ascii="仿宋" w:hAnsi="仿宋" w:eastAsia="仿宋"/>
          <w:sz w:val="32"/>
          <w:szCs w:val="32"/>
        </w:rPr>
      </w:pPr>
      <w:r>
        <w:rPr>
          <w:rFonts w:hint="eastAsia" w:ascii="仿宋" w:hAnsi="仿宋" w:eastAsia="仿宋"/>
          <w:sz w:val="32"/>
          <w:szCs w:val="32"/>
        </w:rPr>
        <w:t>（二）生产及制造过程中所产生的废品，堆放于我公司指定地点，承包商在回收时以过磅单为结算依据。</w:t>
      </w:r>
    </w:p>
    <w:p>
      <w:pPr>
        <w:pStyle w:val="12"/>
        <w:numPr>
          <w:ilvl w:val="0"/>
          <w:numId w:val="3"/>
        </w:numPr>
        <w:ind w:firstLineChars="0"/>
        <w:rPr>
          <w:rFonts w:ascii="仿宋" w:hAnsi="仿宋" w:eastAsia="仿宋"/>
          <w:sz w:val="32"/>
          <w:szCs w:val="32"/>
        </w:rPr>
      </w:pPr>
      <w:r>
        <w:rPr>
          <w:rFonts w:hint="eastAsia" w:ascii="仿宋" w:hAnsi="仿宋" w:eastAsia="仿宋"/>
          <w:sz w:val="32"/>
          <w:szCs w:val="32"/>
        </w:rPr>
        <w:t>中标价格及结算方法：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（一）标的物报价及中标价均为不扣除任何异物价格，标的物报价为签订购销合同第一季度执行价，招标后合同签订有效期为3年，合</w:t>
      </w:r>
      <w:r>
        <w:rPr>
          <w:rFonts w:ascii="仿宋" w:hAnsi="仿宋" w:eastAsia="仿宋"/>
          <w:sz w:val="32"/>
          <w:szCs w:val="32"/>
        </w:rPr>
        <w:t>同期间结算价格实</w:t>
      </w:r>
      <w:r>
        <w:rPr>
          <w:rFonts w:hint="eastAsia" w:ascii="仿宋" w:hAnsi="仿宋" w:eastAsia="仿宋"/>
          <w:sz w:val="32"/>
          <w:szCs w:val="32"/>
        </w:rPr>
        <w:t>行</w:t>
      </w:r>
      <w:r>
        <w:rPr>
          <w:rFonts w:ascii="仿宋" w:hAnsi="仿宋" w:eastAsia="仿宋"/>
          <w:sz w:val="32"/>
          <w:szCs w:val="32"/>
        </w:rPr>
        <w:t>季度调整，一季度一价，</w:t>
      </w:r>
      <w:r>
        <w:rPr>
          <w:rFonts w:hint="eastAsia" w:ascii="仿宋" w:hAnsi="仿宋" w:eastAsia="仿宋"/>
          <w:sz w:val="32"/>
          <w:szCs w:val="32"/>
        </w:rPr>
        <w:t>季</w:t>
      </w:r>
      <w:r>
        <w:rPr>
          <w:rFonts w:ascii="仿宋" w:hAnsi="仿宋" w:eastAsia="仿宋"/>
          <w:sz w:val="32"/>
          <w:szCs w:val="32"/>
        </w:rPr>
        <w:t>度开始若市场价格</w:t>
      </w:r>
      <w:r>
        <w:rPr>
          <w:rFonts w:hint="eastAsia" w:ascii="仿宋" w:hAnsi="仿宋" w:eastAsia="仿宋"/>
          <w:sz w:val="32"/>
          <w:szCs w:val="32"/>
        </w:rPr>
        <w:t>（</w:t>
      </w:r>
      <w:r>
        <w:rPr>
          <w:rFonts w:ascii="仿宋" w:hAnsi="仿宋" w:eastAsia="仿宋"/>
          <w:sz w:val="32"/>
          <w:szCs w:val="32"/>
        </w:rPr>
        <w:t>最高和最低的平均价格）比招标</w:t>
      </w:r>
      <w:r>
        <w:rPr>
          <w:rFonts w:hint="eastAsia" w:ascii="仿宋" w:hAnsi="仿宋" w:eastAsia="仿宋"/>
          <w:sz w:val="32"/>
          <w:szCs w:val="32"/>
        </w:rPr>
        <w:t>计算均价</w:t>
      </w:r>
      <w:r>
        <w:rPr>
          <w:rFonts w:ascii="仿宋" w:hAnsi="仿宋" w:eastAsia="仿宋"/>
          <w:sz w:val="32"/>
          <w:szCs w:val="32"/>
        </w:rPr>
        <w:t>增减</w:t>
      </w:r>
      <w:r>
        <w:rPr>
          <w:rFonts w:hint="eastAsia" w:ascii="仿宋" w:hAnsi="仿宋" w:eastAsia="仿宋"/>
          <w:sz w:val="32"/>
          <w:szCs w:val="32"/>
        </w:rPr>
        <w:t>3%以</w:t>
      </w:r>
      <w:r>
        <w:rPr>
          <w:rFonts w:ascii="仿宋" w:hAnsi="仿宋" w:eastAsia="仿宋"/>
          <w:sz w:val="32"/>
          <w:szCs w:val="32"/>
        </w:rPr>
        <w:t>内不做调整，变动超过</w:t>
      </w:r>
      <w:r>
        <w:rPr>
          <w:rFonts w:hint="eastAsia" w:ascii="仿宋" w:hAnsi="仿宋" w:eastAsia="仿宋"/>
          <w:sz w:val="32"/>
          <w:szCs w:val="32"/>
        </w:rPr>
        <w:t>3%以</w:t>
      </w:r>
      <w:r>
        <w:rPr>
          <w:rFonts w:ascii="仿宋" w:hAnsi="仿宋" w:eastAsia="仿宋"/>
          <w:sz w:val="32"/>
          <w:szCs w:val="32"/>
        </w:rPr>
        <w:t>上实行同比例调整。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（二）投标单位按我公司提供物料明细报价，竞价高者为中标单位（具备相关处理资质）。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（三）我公司设有保留价，任何低于保留价的标书将视为废标，如果所有报价均低于保留价，我公司将再次组织投或议标。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（四）结算方式为交纳在我公司履约金为基础，依次结算，并保留足够履约金以供下次废品回收担保。</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（五）各屑类废料按冬夏两季抽查水分比例扣减过磅重量。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（六）招投标及中标确定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（1）具备资质条件单位进行现场分类开标，公示投标价格后进行现场竞价，价高者且高于保底价为中标单位。</w:t>
      </w:r>
    </w:p>
    <w:p>
      <w:pPr>
        <w:spacing w:line="360" w:lineRule="auto"/>
        <w:ind w:left="645"/>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）中标后不履行相关义务，则由下一家为中标单位。</w:t>
      </w:r>
    </w:p>
    <w:p>
      <w:pPr>
        <w:spacing w:line="360" w:lineRule="auto"/>
        <w:ind w:left="645"/>
        <w:rPr>
          <w:rFonts w:ascii="仿宋" w:hAnsi="仿宋" w:eastAsia="仿宋"/>
          <w:sz w:val="32"/>
          <w:szCs w:val="32"/>
        </w:rPr>
      </w:pPr>
      <w:r>
        <w:rPr>
          <w:rFonts w:hint="eastAsia" w:ascii="仿宋" w:hAnsi="仿宋" w:eastAsia="仿宋"/>
          <w:sz w:val="32"/>
          <w:szCs w:val="32"/>
        </w:rPr>
        <w:t>八、季度价格执行参考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废品季度结算价格参</w:t>
      </w:r>
      <w:r>
        <w:rPr>
          <w:rFonts w:ascii="仿宋" w:hAnsi="仿宋" w:eastAsia="仿宋"/>
          <w:sz w:val="32"/>
          <w:szCs w:val="32"/>
        </w:rPr>
        <w:t>考“长江有色金属网</w:t>
      </w:r>
      <w:r>
        <w:fldChar w:fldCharType="begin"/>
      </w:r>
      <w:r>
        <w:instrText xml:space="preserve"> HYPERLINK "https://www.ccmn.cn/" </w:instrText>
      </w:r>
      <w:r>
        <w:fldChar w:fldCharType="separate"/>
      </w:r>
      <w:r>
        <w:rPr>
          <w:rStyle w:val="9"/>
        </w:rPr>
        <w:t>https://www.ccmn.cn/</w:t>
      </w:r>
      <w:r>
        <w:rPr>
          <w:rStyle w:val="9"/>
        </w:rPr>
        <w:fldChar w:fldCharType="end"/>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四川</w:t>
      </w:r>
      <w:r>
        <w:rPr>
          <w:rFonts w:ascii="仿宋" w:hAnsi="仿宋" w:eastAsia="仿宋"/>
          <w:sz w:val="32"/>
          <w:szCs w:val="32"/>
        </w:rPr>
        <w:t>废品</w:t>
      </w:r>
      <w:r>
        <w:rPr>
          <w:rFonts w:hint="eastAsia" w:ascii="仿宋" w:hAnsi="仿宋" w:eastAsia="仿宋"/>
          <w:sz w:val="32"/>
          <w:szCs w:val="32"/>
        </w:rPr>
        <w:t>网（</w:t>
      </w:r>
      <w:r>
        <w:rPr>
          <w:rFonts w:ascii="仿宋" w:hAnsi="仿宋" w:eastAsia="仿宋"/>
          <w:sz w:val="32"/>
          <w:szCs w:val="32"/>
        </w:rPr>
        <w:t>绵阳）</w:t>
      </w:r>
      <w:r>
        <w:fldChar w:fldCharType="begin"/>
      </w:r>
      <w:r>
        <w:instrText xml:space="preserve"> HYPERLINK "https://sc.zgfp.com/”季度调整前1" </w:instrText>
      </w:r>
      <w:r>
        <w:fldChar w:fldCharType="separate"/>
      </w:r>
      <w:r>
        <w:rPr>
          <w:rStyle w:val="9"/>
        </w:rPr>
        <w:t>https://sc.zgfp.com/</w:t>
      </w:r>
      <w:r>
        <w:rPr>
          <w:rStyle w:val="9"/>
          <w:rFonts w:ascii="仿宋" w:hAnsi="仿宋" w:eastAsia="仿宋"/>
          <w:sz w:val="32"/>
          <w:szCs w:val="32"/>
        </w:rPr>
        <w:t>”季度调整前</w:t>
      </w:r>
      <w:r>
        <w:rPr>
          <w:rStyle w:val="9"/>
          <w:rFonts w:hint="eastAsia" w:ascii="仿宋" w:hAnsi="仿宋" w:eastAsia="仿宋"/>
          <w:sz w:val="32"/>
          <w:szCs w:val="32"/>
        </w:rPr>
        <w:t>1</w:t>
      </w:r>
      <w:r>
        <w:rPr>
          <w:rStyle w:val="9"/>
          <w:rFonts w:hint="eastAsia" w:ascii="仿宋" w:hAnsi="仿宋" w:eastAsia="仿宋"/>
          <w:sz w:val="32"/>
          <w:szCs w:val="32"/>
        </w:rPr>
        <w:fldChar w:fldCharType="end"/>
      </w:r>
      <w:r>
        <w:rPr>
          <w:rFonts w:hint="eastAsia" w:ascii="仿宋" w:hAnsi="仿宋" w:eastAsia="仿宋"/>
          <w:sz w:val="32"/>
          <w:szCs w:val="32"/>
        </w:rPr>
        <w:t>月均价 [</w:t>
      </w:r>
      <w:r>
        <w:rPr>
          <w:rFonts w:ascii="仿宋" w:hAnsi="仿宋" w:eastAsia="仿宋"/>
          <w:sz w:val="32"/>
          <w:szCs w:val="32"/>
        </w:rPr>
        <w:t>（最低</w:t>
      </w:r>
      <w:r>
        <w:rPr>
          <w:rFonts w:hint="eastAsia" w:ascii="仿宋" w:hAnsi="仿宋" w:eastAsia="仿宋"/>
          <w:sz w:val="32"/>
          <w:szCs w:val="32"/>
        </w:rPr>
        <w:t>价格+最</w:t>
      </w:r>
      <w:r>
        <w:rPr>
          <w:rFonts w:ascii="仿宋" w:hAnsi="仿宋" w:eastAsia="仿宋"/>
          <w:sz w:val="32"/>
          <w:szCs w:val="32"/>
        </w:rPr>
        <w:t>高价格）</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w:t>
      </w:r>
    </w:p>
    <w:p>
      <w:pPr>
        <w:spacing w:line="360" w:lineRule="auto"/>
        <w:ind w:left="645"/>
        <w:rPr>
          <w:rFonts w:ascii="仿宋" w:hAnsi="仿宋" w:eastAsia="仿宋"/>
          <w:sz w:val="32"/>
          <w:szCs w:val="32"/>
        </w:rPr>
      </w:pPr>
      <w:r>
        <w:rPr>
          <w:rFonts w:hint="eastAsia" w:ascii="仿宋" w:hAnsi="仿宋" w:eastAsia="仿宋"/>
          <w:sz w:val="32"/>
          <w:szCs w:val="32"/>
        </w:rPr>
        <w:t>九、履约期限和货款结算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（一）本次招标的履约期限从2021年6月</w:t>
      </w:r>
      <w:r>
        <w:rPr>
          <w:rFonts w:ascii="仿宋" w:hAnsi="仿宋" w:eastAsia="仿宋"/>
          <w:sz w:val="32"/>
          <w:szCs w:val="32"/>
        </w:rPr>
        <w:t>1</w:t>
      </w:r>
      <w:r>
        <w:rPr>
          <w:rFonts w:hint="eastAsia" w:ascii="仿宋" w:hAnsi="仿宋" w:eastAsia="仿宋"/>
          <w:sz w:val="32"/>
          <w:szCs w:val="32"/>
        </w:rPr>
        <w:t>起至2024年</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（二）中标单位应在中标后5个工作日内向我公司支付履约保证金5万元人民币。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十、运输装卸费用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在甲方厂区内，乙方应在甲方仓库管理员安全指导下进行装卸，乙方应自行雇佣工人装卸所有废物，运输车辆及运输费用均由乙方自行负担。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十一、投标方如有需求，可在2021年5月16日至2021年5月26日之间与我公司联系人当面沟通，并可到现场实地查看废品实物状态。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十二、本招标书解释权归绵阳富临精工股份有限公司人事行政部。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十三、联系人及电话</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唐先生：15982956037</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徐先生：18990193013</w:t>
      </w:r>
    </w:p>
    <w:p>
      <w:pPr>
        <w:spacing w:line="360" w:lineRule="auto"/>
        <w:ind w:firstLine="640" w:firstLineChars="200"/>
        <w:rPr>
          <w:rFonts w:ascii="仿宋" w:hAnsi="仿宋" w:eastAsia="仿宋"/>
          <w:sz w:val="32"/>
          <w:szCs w:val="32"/>
        </w:rPr>
      </w:pPr>
    </w:p>
    <w:p>
      <w:pPr>
        <w:spacing w:line="360" w:lineRule="auto"/>
        <w:ind w:left="645"/>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富临精工股份有限公司人事行政部</w:t>
      </w:r>
    </w:p>
    <w:p>
      <w:pPr>
        <w:spacing w:line="360" w:lineRule="auto"/>
        <w:ind w:left="645"/>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2021年5月16日</w:t>
      </w: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rPr>
          <w:rFonts w:hint="eastAsia"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附件一：</w:t>
      </w:r>
    </w:p>
    <w:p>
      <w:pPr>
        <w:ind w:left="645"/>
        <w:jc w:val="center"/>
        <w:rPr>
          <w:rFonts w:hint="eastAsia"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阳光招标告知函</w:t>
      </w:r>
    </w:p>
    <w:p>
      <w:pPr>
        <w:spacing w:line="400" w:lineRule="exact"/>
        <w:rPr>
          <w:rFonts w:ascii="仿宋" w:hAnsi="仿宋" w:eastAsia="仿宋"/>
          <w:sz w:val="32"/>
          <w:szCs w:val="32"/>
        </w:rPr>
      </w:pPr>
      <w:r>
        <w:rPr>
          <w:rFonts w:hint="eastAsia" w:ascii="仿宋" w:hAnsi="仿宋" w:eastAsia="仿宋"/>
          <w:sz w:val="32"/>
          <w:szCs w:val="32"/>
        </w:rPr>
        <w:t>各投标单位：</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为规范富临集团及各下属企业（子、分公司）招标行为，保障公开、公平、公正的招标原则，避免腐败事件发生，实现“阳光招标”目的，有效维护招标人与投标人的合法权益，特将本次招标、投标过程中的廉洁事宜告知如下：</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一、投标单位不得实施的行为</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1、不得以任何形式直接或变相贿赂招标单位工作人员；</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2、不得向招标单位工作人员及亲属提供宴请、礼金、有价证券、旅游、贵重物品、高消费娱乐活动等；</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3、不得因招标单位工作人员本人及亲属婚丧嫁娶、生日、升迁、升学等为由赠送钱物；</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4、不得为招标单位工作人员支付或报销应由招标单位工作人员个人承担支付的费用；</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5、不得向招标单位工作人员提供无偿服务、劳务、或者提供干股或其他变相利益；</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6、不得实施围标、串标、泄露招标单位机密，排挤其他投标单位公平竞争的行为；</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7、不得在投标过程中有弄虚作假等违反商业道德、扰乱正常竞争秩序等行为。</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二、招标单位应严格遵守的事项</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1、招标单位工作人员必须严格遵守国家法律法规及富临集团有关廉政建设制度规定，不得以任何形式向投标单位索贿，不得接受投标单位任何利益；</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2、招标单位工作人员必须遵循“公开、公平、公正、诚信”原则，并贯穿招标过程始终。对各投标单位予以公平对待，对符合招标公告、招标文件规定的投标人资格的投标单位不得设置“软门槛”，或以其他任何形式直接或变相拒绝投标人的投标报名（已被富临集团列为黑名单的投标单位除外）；禁止向投标单位泄露应当保密的事项，包括标底信息、其他投标单位报名或报价信息等；禁止暗箱操作行为。</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三、监督及奖惩</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1、针对本告知函内容，各投标单位之间应互相监督，同时加强对招标单位工作人员的监督，有任何违反情况，投标单位应立即向富临集团监事会或董事长办公室举报，并有义务提供记录其他投标单位或招标方工作人员不廉洁行为的文字、音频、视频证据或其他证据，一经核实，富临集团将根据情节轻重对举报人进行一定金额的现金奖励。</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2、富临集团在对相关举报线索进行查实时，投标单位应积极配合富临集团的管理人员或监事会人员的各项调查、核实工作，不得提供伪证，不得搪塞富临集团的管理人员或监事会人员。</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3、投标单位若有违反国家法律法规及本告知函明确规定的投标单位不得实施的行为，一经查实，富临集团及各下属企业（子、分公司）将把该投标单位列入合作伙伴黑名单，永久取消该单位在富临集团及各下属企业（子、分公司）的投标及其他合作资格，缴纳的投标保证金予以没收，若因其行为给富临集团及各下属企业（子、分公司）造成的损失超出前述金额，还应足额承担赔偿责任。</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 xml:space="preserve">4、招标单位工作人员若有违反国家法律法规及本告知函明确规定的招标单位应严格遵守的事项的行为，一经查实，按公司制度予以严肃处理，给公司造成损失的，承担赔偿责任。 </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5、对于经查实的投标单位或招标单位工作人员违法违规行为涉嫌犯罪的，将按照有关程序移送司法机关追究刑事责任。</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四、投标单位最终确定为中标单位的，签订商务合同的同时，还应签订《阳光招标协议》（条款详见招标文件合同范本附件）。</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五、富临集团监督举报渠道</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（一）富临集团监事会举报渠道：</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电话：</w:t>
      </w:r>
      <w:r>
        <w:rPr>
          <w:rFonts w:ascii="仿宋" w:hAnsi="仿宋" w:eastAsia="仿宋"/>
          <w:sz w:val="32"/>
          <w:szCs w:val="32"/>
        </w:rPr>
        <w:t xml:space="preserve"> </w:t>
      </w:r>
      <w:r>
        <w:rPr>
          <w:rFonts w:hint="eastAsia" w:ascii="仿宋" w:hAnsi="仿宋" w:eastAsia="仿宋"/>
          <w:sz w:val="32"/>
          <w:szCs w:val="32"/>
        </w:rPr>
        <w:t>0816-2531290、</w:t>
      </w:r>
      <w:r>
        <w:rPr>
          <w:rFonts w:ascii="仿宋" w:hAnsi="仿宋" w:eastAsia="仿宋"/>
          <w:sz w:val="32"/>
          <w:szCs w:val="32"/>
        </w:rPr>
        <w:t xml:space="preserve">  18009091216</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邮箱</w:t>
      </w:r>
      <w:r>
        <w:rPr>
          <w:rFonts w:ascii="仿宋" w:hAnsi="仿宋" w:eastAsia="仿宋"/>
          <w:sz w:val="32"/>
          <w:szCs w:val="32"/>
        </w:rPr>
        <w:t xml:space="preserve"> </w:t>
      </w:r>
      <w:r>
        <w:rPr>
          <w:rFonts w:hint="eastAsia" w:ascii="仿宋" w:hAnsi="仿宋" w:eastAsia="仿宋"/>
          <w:sz w:val="32"/>
          <w:szCs w:val="32"/>
        </w:rPr>
        <w:t>：fljtjsh@fulingroup.cn</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微信号</w:t>
      </w:r>
      <w:r>
        <w:rPr>
          <w:rFonts w:ascii="仿宋" w:hAnsi="仿宋" w:eastAsia="仿宋"/>
          <w:sz w:val="32"/>
          <w:szCs w:val="32"/>
        </w:rPr>
        <w:t xml:space="preserve"> wxid_9i1hotmrvpdb22</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（二）董事长办公室举报渠道：</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电话：19983126666</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微信号：Fp-198648</w:t>
      </w:r>
    </w:p>
    <w:p>
      <w:pPr>
        <w:ind w:left="645"/>
        <w:rPr>
          <w:rFonts w:ascii="仿宋" w:hAnsi="仿宋" w:eastAsia="仿宋"/>
          <w:color w:val="000000" w:themeColor="text1"/>
          <w:sz w:val="32"/>
          <w:szCs w:val="32"/>
          <w14:textFill>
            <w14:solidFill>
              <w14:schemeClr w14:val="tx1"/>
            </w14:solidFill>
          </w14:textFill>
        </w:rPr>
      </w:pPr>
    </w:p>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附件二</w:t>
      </w:r>
    </w:p>
    <w:p>
      <w:pPr>
        <w:ind w:left="645"/>
        <w:jc w:val="center"/>
        <w:rPr>
          <w:rFonts w:ascii="仿宋" w:hAnsi="仿宋" w:eastAsia="仿宋"/>
          <w:sz w:val="32"/>
          <w:szCs w:val="32"/>
        </w:rPr>
      </w:pPr>
      <w:r>
        <w:rPr>
          <w:rFonts w:hint="eastAsia" w:ascii="仿宋" w:hAnsi="仿宋" w:eastAsia="仿宋"/>
          <w:sz w:val="32"/>
          <w:szCs w:val="32"/>
        </w:rPr>
        <w:t>废钢产品及冲压废钢材料，废不锈钢产品、不锈钢屑</w:t>
      </w:r>
    </w:p>
    <w:p>
      <w:pPr>
        <w:ind w:left="645" w:firstLine="320" w:firstLineChars="100"/>
        <w:jc w:val="center"/>
        <w:rPr>
          <w:rFonts w:ascii="仿宋" w:hAnsi="仿宋" w:eastAsia="仿宋"/>
          <w:sz w:val="32"/>
          <w:szCs w:val="32"/>
        </w:rPr>
      </w:pPr>
      <w:r>
        <w:rPr>
          <w:rFonts w:hint="eastAsia" w:ascii="仿宋" w:hAnsi="仿宋" w:eastAsia="仿宋"/>
          <w:sz w:val="32"/>
          <w:szCs w:val="32"/>
        </w:rPr>
        <w:t>招标报价单</w:t>
      </w:r>
    </w:p>
    <w:tbl>
      <w:tblPr>
        <w:tblStyle w:val="11"/>
        <w:tblW w:w="0" w:type="auto"/>
        <w:tblInd w:w="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1"/>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11"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标的物</w:t>
            </w:r>
          </w:p>
        </w:tc>
        <w:tc>
          <w:tcPr>
            <w:tcW w:w="3840"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报价（元/吨）含税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11"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废钢产品及冲压废钢材料</w:t>
            </w:r>
          </w:p>
        </w:tc>
        <w:tc>
          <w:tcPr>
            <w:tcW w:w="3840" w:type="dxa"/>
          </w:tcPr>
          <w:p>
            <w:pPr>
              <w:jc w:val="center"/>
              <w:rPr>
                <w:rFonts w:ascii="仿宋" w:hAnsi="仿宋" w:eastAsia="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11"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废不锈钢产品</w:t>
            </w:r>
          </w:p>
        </w:tc>
        <w:tc>
          <w:tcPr>
            <w:tcW w:w="3840" w:type="dxa"/>
          </w:tcPr>
          <w:p>
            <w:pPr>
              <w:jc w:val="center"/>
              <w:rPr>
                <w:rFonts w:ascii="仿宋" w:hAnsi="仿宋" w:eastAsia="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11"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不锈钢屑</w:t>
            </w:r>
          </w:p>
        </w:tc>
        <w:tc>
          <w:tcPr>
            <w:tcW w:w="3840" w:type="dxa"/>
          </w:tcPr>
          <w:p>
            <w:pPr>
              <w:jc w:val="center"/>
              <w:rPr>
                <w:rFonts w:ascii="仿宋" w:hAnsi="仿宋" w:eastAsia="仿宋"/>
                <w:color w:val="000000" w:themeColor="text1"/>
                <w:sz w:val="32"/>
                <w:szCs w:val="32"/>
                <w14:textFill>
                  <w14:solidFill>
                    <w14:schemeClr w14:val="tx1"/>
                  </w14:solidFill>
                </w14:textFill>
              </w:rPr>
            </w:pPr>
          </w:p>
        </w:tc>
      </w:tr>
    </w:tbl>
    <w:p>
      <w:pPr>
        <w:ind w:left="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投标单位（盖章）：</w:t>
      </w:r>
    </w:p>
    <w:p>
      <w:pPr>
        <w:ind w:left="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代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表（签字）：</w:t>
      </w:r>
    </w:p>
    <w:p>
      <w:pPr>
        <w:ind w:left="645"/>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2021年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月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日</w:t>
      </w:r>
    </w:p>
    <w:p>
      <w:pPr>
        <w:ind w:left="645"/>
        <w:jc w:val="center"/>
        <w:rPr>
          <w:rFonts w:ascii="仿宋" w:hAnsi="仿宋" w:eastAsia="仿宋"/>
          <w:sz w:val="32"/>
          <w:szCs w:val="32"/>
        </w:rPr>
      </w:pPr>
      <w:r>
        <w:rPr>
          <w:rFonts w:hint="eastAsia" w:ascii="仿宋" w:hAnsi="仿宋" w:eastAsia="仿宋"/>
          <w:sz w:val="32"/>
          <w:szCs w:val="32"/>
        </w:rPr>
        <w:t>废纸箱、吸塑盒招标报价单</w:t>
      </w:r>
    </w:p>
    <w:tbl>
      <w:tblPr>
        <w:tblStyle w:val="11"/>
        <w:tblW w:w="0" w:type="auto"/>
        <w:tblInd w:w="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1"/>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11"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标的物</w:t>
            </w:r>
          </w:p>
        </w:tc>
        <w:tc>
          <w:tcPr>
            <w:tcW w:w="3840"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报价（元/吨）含税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11"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废纸箱</w:t>
            </w:r>
          </w:p>
        </w:tc>
        <w:tc>
          <w:tcPr>
            <w:tcW w:w="3840" w:type="dxa"/>
          </w:tcPr>
          <w:p>
            <w:pPr>
              <w:jc w:val="center"/>
              <w:rPr>
                <w:rFonts w:ascii="仿宋" w:hAnsi="仿宋" w:eastAsia="仿宋"/>
                <w:color w:val="000000" w:themeColor="text1"/>
                <w:sz w:val="32"/>
                <w:szCs w:val="32"/>
                <w14:textFill>
                  <w14:solidFill>
                    <w14:schemeClr w14:val="tx1"/>
                  </w14:solidFill>
                </w14:textFill>
              </w:rPr>
            </w:pPr>
          </w:p>
        </w:tc>
      </w:tr>
    </w:tbl>
    <w:p>
      <w:pPr>
        <w:ind w:left="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投标单位（盖章）：</w:t>
      </w:r>
    </w:p>
    <w:p>
      <w:pPr>
        <w:ind w:left="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代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表（签字）：</w:t>
      </w:r>
    </w:p>
    <w:p>
      <w:pPr>
        <w:ind w:left="645"/>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2021年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月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日</w:t>
      </w:r>
    </w:p>
    <w:p>
      <w:pPr>
        <w:rPr>
          <w:rFonts w:hint="eastAsia"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p>
    <w:p>
      <w:pPr>
        <w:ind w:left="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附件三：</w:t>
      </w:r>
    </w:p>
    <w:p>
      <w:pPr>
        <w:ind w:left="645"/>
        <w:jc w:val="center"/>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承诺函</w:t>
      </w:r>
    </w:p>
    <w:p>
      <w:pPr>
        <w:snapToGrid w:val="0"/>
        <w:spacing w:line="4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＿＿＿＿＿＿＿＿公司：</w:t>
      </w:r>
    </w:p>
    <w:p>
      <w:pPr>
        <w:snapToGrid w:val="0"/>
        <w:spacing w:line="400" w:lineRule="exact"/>
        <w:ind w:firstLine="56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我单位于＿＿＿年＿＿＿月＿＿＿日收到贵公司关于＿＿＿＿＿＿项目的招标文件，经慎重考虑，我单位决定参与贵公司该招标项目的投标，在此我单位郑重承诺：</w:t>
      </w:r>
    </w:p>
    <w:p>
      <w:pPr>
        <w:numPr>
          <w:ilvl w:val="1"/>
          <w:numId w:val="5"/>
        </w:numPr>
        <w:tabs>
          <w:tab w:val="left" w:pos="855"/>
          <w:tab w:val="clear" w:pos="998"/>
        </w:tabs>
        <w:snapToGrid w:val="0"/>
        <w:spacing w:line="400" w:lineRule="exact"/>
        <w:ind w:left="0" w:firstLine="278"/>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我单位提供的营业执照、资质证书、授权委托书等全部报名文件、投标文件真实无误。</w:t>
      </w:r>
    </w:p>
    <w:p>
      <w:pPr>
        <w:numPr>
          <w:ilvl w:val="1"/>
          <w:numId w:val="5"/>
        </w:numPr>
        <w:tabs>
          <w:tab w:val="left" w:pos="-284"/>
          <w:tab w:val="clear" w:pos="998"/>
        </w:tabs>
        <w:snapToGrid w:val="0"/>
        <w:spacing w:line="400" w:lineRule="exact"/>
        <w:ind w:left="0" w:firstLine="278"/>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单位在投标前已对《阳光招标告知函》（以下简称“告知函”）、招标文件、合同条款（包括商务合同范本及《阳光合作协议书》）之内容完全理解并接受，若我单位在投标过程中有违反告知函的相关行为，自愿接受贵公司按告知函对我司所作出的相关处理。</w:t>
      </w:r>
    </w:p>
    <w:p>
      <w:pPr>
        <w:numPr>
          <w:ilvl w:val="1"/>
          <w:numId w:val="5"/>
        </w:numPr>
        <w:tabs>
          <w:tab w:val="left" w:pos="855"/>
          <w:tab w:val="clear" w:pos="998"/>
        </w:tabs>
        <w:snapToGrid w:val="0"/>
        <w:spacing w:line="400" w:lineRule="exact"/>
        <w:ind w:left="0" w:firstLine="278"/>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我单位参加投标自愿缴纳</w:t>
      </w:r>
      <w:r>
        <w:rPr>
          <w:rFonts w:hint="eastAsia" w:ascii="仿宋" w:hAnsi="仿宋" w:eastAsia="仿宋"/>
          <w:color w:val="000000" w:themeColor="text1"/>
          <w:sz w:val="32"/>
          <w:szCs w:val="32"/>
          <w:u w:val="single"/>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元投标保证金，若我司在投标过程中有违反《阳光招标告知函》的行为、提供虚假投标资料、不准时参加招标会、中标后我方不签订合同或不履行合同，该保证金作为违约赔偿贵公司损失。若投标过程中有违反《阳光招标告知函》的行为，贵司可另行追究我司责任。保证金的赔偿不影响贵公司对我单位其他违约责任的追究。</w:t>
      </w:r>
    </w:p>
    <w:p>
      <w:pPr>
        <w:tabs>
          <w:tab w:val="left" w:pos="855"/>
        </w:tabs>
        <w:snapToGrid w:val="0"/>
        <w:spacing w:line="400" w:lineRule="exact"/>
        <w:ind w:left="-426"/>
        <w:rPr>
          <w:rFonts w:ascii="仿宋" w:hAnsi="仿宋" w:eastAsia="仿宋"/>
          <w:color w:val="000000" w:themeColor="text1"/>
          <w:sz w:val="32"/>
          <w:szCs w:val="32"/>
          <w14:textFill>
            <w14:solidFill>
              <w14:schemeClr w14:val="tx1"/>
            </w14:solidFill>
          </w14:textFill>
        </w:rPr>
      </w:pPr>
    </w:p>
    <w:p>
      <w:pPr>
        <w:tabs>
          <w:tab w:val="left" w:pos="855"/>
        </w:tabs>
        <w:snapToGrid w:val="0"/>
        <w:spacing w:line="400" w:lineRule="exact"/>
        <w:ind w:left="-426"/>
        <w:rPr>
          <w:rFonts w:ascii="仿宋" w:hAnsi="仿宋" w:eastAsia="仿宋"/>
          <w:color w:val="000000" w:themeColor="text1"/>
          <w:sz w:val="32"/>
          <w:szCs w:val="32"/>
          <w14:textFill>
            <w14:solidFill>
              <w14:schemeClr w14:val="tx1"/>
            </w14:solidFill>
          </w14:textFill>
        </w:rPr>
      </w:pPr>
    </w:p>
    <w:p>
      <w:pPr>
        <w:tabs>
          <w:tab w:val="left" w:pos="855"/>
        </w:tabs>
        <w:snapToGrid w:val="0"/>
        <w:spacing w:line="400" w:lineRule="exact"/>
        <w:ind w:left="-426"/>
        <w:rPr>
          <w:rFonts w:ascii="仿宋" w:hAnsi="仿宋" w:eastAsia="仿宋"/>
          <w:color w:val="000000" w:themeColor="text1"/>
          <w:sz w:val="32"/>
          <w:szCs w:val="32"/>
          <w14:textFill>
            <w14:solidFill>
              <w14:schemeClr w14:val="tx1"/>
            </w14:solidFill>
          </w14:textFill>
        </w:rPr>
      </w:pPr>
    </w:p>
    <w:p>
      <w:pPr>
        <w:tabs>
          <w:tab w:val="left" w:pos="855"/>
        </w:tabs>
        <w:snapToGrid w:val="0"/>
        <w:spacing w:line="400" w:lineRule="exact"/>
        <w:ind w:left="-426"/>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承诺人（公章）：                          </w:t>
      </w:r>
    </w:p>
    <w:p>
      <w:pPr>
        <w:tabs>
          <w:tab w:val="left" w:pos="855"/>
        </w:tabs>
        <w:snapToGrid w:val="0"/>
        <w:spacing w:line="400" w:lineRule="exact"/>
        <w:ind w:left="-426"/>
        <w:rPr>
          <w:rFonts w:ascii="仿宋" w:hAnsi="仿宋" w:eastAsia="仿宋"/>
          <w:color w:val="000000" w:themeColor="text1"/>
          <w:sz w:val="32"/>
          <w:szCs w:val="32"/>
          <w14:textFill>
            <w14:solidFill>
              <w14:schemeClr w14:val="tx1"/>
            </w14:solidFill>
          </w14:textFill>
        </w:rPr>
      </w:pPr>
    </w:p>
    <w:p>
      <w:pPr>
        <w:tabs>
          <w:tab w:val="left" w:pos="855"/>
        </w:tabs>
        <w:snapToGrid w:val="0"/>
        <w:spacing w:line="400" w:lineRule="exact"/>
        <w:ind w:left="-426"/>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年  月  日</w:t>
      </w:r>
    </w:p>
    <w:p>
      <w:pPr>
        <w:tabs>
          <w:tab w:val="left" w:pos="855"/>
        </w:tabs>
        <w:snapToGrid w:val="0"/>
        <w:spacing w:line="400" w:lineRule="exact"/>
        <w:ind w:left="-426"/>
        <w:rPr>
          <w:rFonts w:hint="eastAsia" w:ascii="仿宋" w:hAnsi="仿宋" w:eastAsia="仿宋"/>
          <w:color w:val="000000" w:themeColor="text1"/>
          <w:sz w:val="32"/>
          <w:szCs w:val="32"/>
          <w14:textFill>
            <w14:solidFill>
              <w14:schemeClr w14:val="tx1"/>
            </w14:solidFill>
          </w14:textFill>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附件四</w:t>
      </w:r>
    </w:p>
    <w:p>
      <w:pPr>
        <w:jc w:val="center"/>
        <w:rPr>
          <w:rFonts w:ascii="仿宋" w:hAnsi="仿宋" w:eastAsia="仿宋"/>
          <w:b/>
          <w:sz w:val="32"/>
          <w:szCs w:val="32"/>
        </w:rPr>
      </w:pPr>
      <w:r>
        <w:rPr>
          <w:rFonts w:hint="eastAsia" w:ascii="仿宋" w:hAnsi="仿宋" w:eastAsia="仿宋"/>
          <w:b/>
          <w:sz w:val="32"/>
          <w:szCs w:val="32"/>
        </w:rPr>
        <w:t>授权委托书</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兹授权</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全权代理本单位参加富临精工股份有限公司</w:t>
      </w:r>
      <w:r>
        <w:rPr>
          <w:rFonts w:hint="eastAsia" w:ascii="仿宋" w:hAnsi="仿宋" w:eastAsia="仿宋"/>
          <w:color w:val="000000" w:themeColor="text1"/>
          <w:sz w:val="32"/>
          <w:szCs w:val="32"/>
          <w14:textFill>
            <w14:solidFill>
              <w14:schemeClr w14:val="tx1"/>
            </w14:solidFill>
          </w14:textFill>
        </w:rPr>
        <w:t>组织的“2021年6月至2024年6月废品招标”活动。权限包括参加投标、签订合同等有关事项。</w:t>
      </w:r>
    </w:p>
    <w:p>
      <w:pPr>
        <w:ind w:firstLine="640" w:firstLineChars="20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有效期从2021年</w:t>
      </w:r>
      <w:r>
        <w:rPr>
          <w:rFonts w:hint="eastAsia" w:ascii="仿宋" w:hAnsi="仿宋" w:eastAsia="仿宋"/>
          <w:color w:val="000000" w:themeColor="text1"/>
          <w:sz w:val="32"/>
          <w:szCs w:val="32"/>
          <w:u w:val="single"/>
          <w14:textFill>
            <w14:solidFill>
              <w14:schemeClr w14:val="tx1"/>
            </w14:solidFill>
          </w14:textFill>
        </w:rPr>
        <w:t xml:space="preserve"> </w:t>
      </w:r>
      <w:r>
        <w:rPr>
          <w:rFonts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u w:val="single"/>
          <w14:textFill>
            <w14:solidFill>
              <w14:schemeClr w14:val="tx1"/>
            </w14:solidFill>
          </w14:textFill>
        </w:rPr>
        <w:t xml:space="preserve"> </w:t>
      </w:r>
      <w:r>
        <w:rPr>
          <w:rFonts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日起至2021年</w:t>
      </w:r>
      <w:r>
        <w:rPr>
          <w:rFonts w:hint="eastAsia" w:ascii="仿宋" w:hAnsi="仿宋" w:eastAsia="仿宋"/>
          <w:color w:val="000000" w:themeColor="text1"/>
          <w:sz w:val="32"/>
          <w:szCs w:val="32"/>
          <w:u w:val="single"/>
          <w14:textFill>
            <w14:solidFill>
              <w14:schemeClr w14:val="tx1"/>
            </w14:solidFill>
          </w14:textFill>
        </w:rPr>
        <w:t xml:space="preserve"> </w:t>
      </w:r>
      <w:r>
        <w:rPr>
          <w:rFonts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u w:val="single"/>
          <w14:textFill>
            <w14:solidFill>
              <w14:schemeClr w14:val="tx1"/>
            </w14:solidFill>
          </w14:textFill>
        </w:rPr>
        <w:t xml:space="preserve"> </w:t>
      </w:r>
      <w:r>
        <w:rPr>
          <w:rFonts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日止</w:t>
      </w:r>
      <w:r>
        <w:rPr>
          <w:rFonts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p>
    <w:p>
      <w:pPr>
        <w:ind w:left="645"/>
        <w:rPr>
          <w:rFonts w:ascii="仿宋" w:hAnsi="仿宋" w:eastAsia="仿宋"/>
          <w:sz w:val="32"/>
          <w:szCs w:val="32"/>
        </w:rPr>
      </w:pPr>
      <w:r>
        <w:rPr>
          <w:rFonts w:ascii="仿宋" w:hAnsi="仿宋" w:eastAsia="仿宋"/>
          <w:sz w:val="32"/>
          <w:szCs w:val="32"/>
        </w:rPr>
        <w:t xml:space="preserve">                              </w:t>
      </w:r>
      <w:r>
        <w:rPr>
          <w:rFonts w:hint="eastAsia" w:ascii="仿宋" w:hAnsi="仿宋" w:eastAsia="仿宋"/>
          <w:color w:val="000000" w:themeColor="text1"/>
          <w:sz w:val="32"/>
          <w:szCs w:val="32"/>
          <w14:textFill>
            <w14:solidFill>
              <w14:schemeClr w14:val="tx1"/>
            </w14:solidFill>
          </w14:textFill>
        </w:rPr>
        <w:t>公司（盖章）</w:t>
      </w:r>
    </w:p>
    <w:p>
      <w:pPr>
        <w:ind w:left="645" w:firstLine="320" w:firstLineChars="100"/>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2021年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苹方-简">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D5"/>
    <w:multiLevelType w:val="multilevel"/>
    <w:tmpl w:val="08C63FD5"/>
    <w:lvl w:ilvl="0" w:tentative="0">
      <w:start w:val="1"/>
      <w:numFmt w:val="japaneseCounting"/>
      <w:lvlText w:val="（%1）"/>
      <w:lvlJc w:val="left"/>
      <w:pPr>
        <w:tabs>
          <w:tab w:val="left" w:pos="623"/>
        </w:tabs>
        <w:ind w:left="623" w:hanging="765"/>
      </w:pPr>
      <w:rPr>
        <w:rFonts w:hint="default"/>
      </w:rPr>
    </w:lvl>
    <w:lvl w:ilvl="1" w:tentative="0">
      <w:start w:val="1"/>
      <w:numFmt w:val="japaneseCounting"/>
      <w:lvlText w:val="%2、"/>
      <w:lvlJc w:val="left"/>
      <w:pPr>
        <w:tabs>
          <w:tab w:val="left" w:pos="998"/>
        </w:tabs>
        <w:ind w:left="998" w:hanging="720"/>
      </w:pPr>
      <w:rPr>
        <w:rFonts w:hint="default"/>
        <w:lang w:val="en-US"/>
      </w:rPr>
    </w:lvl>
    <w:lvl w:ilvl="2" w:tentative="0">
      <w:start w:val="1"/>
      <w:numFmt w:val="lowerRoman"/>
      <w:lvlText w:val="%3."/>
      <w:lvlJc w:val="right"/>
      <w:pPr>
        <w:tabs>
          <w:tab w:val="left" w:pos="1118"/>
        </w:tabs>
        <w:ind w:left="1118" w:hanging="420"/>
      </w:pPr>
    </w:lvl>
    <w:lvl w:ilvl="3" w:tentative="0">
      <w:start w:val="1"/>
      <w:numFmt w:val="decimal"/>
      <w:lvlText w:val="%4."/>
      <w:lvlJc w:val="left"/>
      <w:pPr>
        <w:tabs>
          <w:tab w:val="left" w:pos="1538"/>
        </w:tabs>
        <w:ind w:left="1538" w:hanging="420"/>
      </w:pPr>
    </w:lvl>
    <w:lvl w:ilvl="4" w:tentative="0">
      <w:start w:val="1"/>
      <w:numFmt w:val="lowerLetter"/>
      <w:lvlText w:val="%5)"/>
      <w:lvlJc w:val="left"/>
      <w:pPr>
        <w:tabs>
          <w:tab w:val="left" w:pos="1958"/>
        </w:tabs>
        <w:ind w:left="1958" w:hanging="420"/>
      </w:pPr>
    </w:lvl>
    <w:lvl w:ilvl="5" w:tentative="0">
      <w:start w:val="1"/>
      <w:numFmt w:val="lowerRoman"/>
      <w:lvlText w:val="%6."/>
      <w:lvlJc w:val="right"/>
      <w:pPr>
        <w:tabs>
          <w:tab w:val="left" w:pos="2378"/>
        </w:tabs>
        <w:ind w:left="2378" w:hanging="420"/>
      </w:pPr>
    </w:lvl>
    <w:lvl w:ilvl="6" w:tentative="0">
      <w:start w:val="1"/>
      <w:numFmt w:val="decimal"/>
      <w:lvlText w:val="%7."/>
      <w:lvlJc w:val="left"/>
      <w:pPr>
        <w:tabs>
          <w:tab w:val="left" w:pos="2798"/>
        </w:tabs>
        <w:ind w:left="2798" w:hanging="420"/>
      </w:pPr>
    </w:lvl>
    <w:lvl w:ilvl="7" w:tentative="0">
      <w:start w:val="1"/>
      <w:numFmt w:val="lowerLetter"/>
      <w:lvlText w:val="%8)"/>
      <w:lvlJc w:val="left"/>
      <w:pPr>
        <w:tabs>
          <w:tab w:val="left" w:pos="3218"/>
        </w:tabs>
        <w:ind w:left="3218" w:hanging="420"/>
      </w:pPr>
    </w:lvl>
    <w:lvl w:ilvl="8" w:tentative="0">
      <w:start w:val="1"/>
      <w:numFmt w:val="lowerRoman"/>
      <w:lvlText w:val="%9."/>
      <w:lvlJc w:val="right"/>
      <w:pPr>
        <w:tabs>
          <w:tab w:val="left" w:pos="3638"/>
        </w:tabs>
        <w:ind w:left="3638" w:hanging="420"/>
      </w:pPr>
    </w:lvl>
  </w:abstractNum>
  <w:abstractNum w:abstractNumId="1">
    <w:nsid w:val="2A082D7E"/>
    <w:multiLevelType w:val="multilevel"/>
    <w:tmpl w:val="2A082D7E"/>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4B8C6DEF"/>
    <w:multiLevelType w:val="multilevel"/>
    <w:tmpl w:val="4B8C6DEF"/>
    <w:lvl w:ilvl="0" w:tentative="0">
      <w:start w:val="2"/>
      <w:numFmt w:val="japaneseCounting"/>
      <w:lvlText w:val="（%1）"/>
      <w:lvlJc w:val="left"/>
      <w:pPr>
        <w:ind w:left="1720" w:hanging="1080"/>
      </w:pPr>
      <w:rPr>
        <w:rFonts w:hint="default"/>
      </w:rPr>
    </w:lvl>
    <w:lvl w:ilvl="1" w:tentative="0">
      <w:start w:val="10"/>
      <w:numFmt w:val="japaneseCounting"/>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E2744AB"/>
    <w:multiLevelType w:val="multilevel"/>
    <w:tmpl w:val="5E2744AB"/>
    <w:lvl w:ilvl="0" w:tentative="0">
      <w:start w:val="1"/>
      <w:numFmt w:val="japaneseCounting"/>
      <w:lvlText w:val="%1、"/>
      <w:lvlJc w:val="left"/>
      <w:pPr>
        <w:ind w:left="1365" w:hanging="720"/>
      </w:pPr>
      <w:rPr>
        <w:rFonts w:hint="default"/>
      </w:rPr>
    </w:lvl>
    <w:lvl w:ilvl="1" w:tentative="0">
      <w:start w:val="1"/>
      <w:numFmt w:val="japaneseCounting"/>
      <w:lvlText w:val="（%2）"/>
      <w:lvlJc w:val="left"/>
      <w:pPr>
        <w:ind w:left="2145" w:hanging="1080"/>
      </w:pPr>
      <w:rPr>
        <w:rFonts w:hint="default"/>
        <w:color w:val="000000" w:themeColor="text1"/>
        <w14:textFill>
          <w14:solidFill>
            <w14:schemeClr w14:val="tx1"/>
          </w14:solidFill>
        </w14:textFill>
      </w:r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712D12AF"/>
    <w:multiLevelType w:val="multilevel"/>
    <w:tmpl w:val="712D12AF"/>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3B"/>
    <w:rsid w:val="00000579"/>
    <w:rsid w:val="000347D8"/>
    <w:rsid w:val="000B6843"/>
    <w:rsid w:val="000E46A9"/>
    <w:rsid w:val="00123D70"/>
    <w:rsid w:val="001350AB"/>
    <w:rsid w:val="001424E0"/>
    <w:rsid w:val="00197EDD"/>
    <w:rsid w:val="001A56F7"/>
    <w:rsid w:val="001D7491"/>
    <w:rsid w:val="0023420E"/>
    <w:rsid w:val="00250474"/>
    <w:rsid w:val="002544E3"/>
    <w:rsid w:val="0026597C"/>
    <w:rsid w:val="00293A12"/>
    <w:rsid w:val="002F36F3"/>
    <w:rsid w:val="00315A32"/>
    <w:rsid w:val="00342F32"/>
    <w:rsid w:val="003506B2"/>
    <w:rsid w:val="00385B77"/>
    <w:rsid w:val="003F181F"/>
    <w:rsid w:val="003F2C18"/>
    <w:rsid w:val="004500E6"/>
    <w:rsid w:val="00470BA3"/>
    <w:rsid w:val="00480306"/>
    <w:rsid w:val="004B2453"/>
    <w:rsid w:val="004C493B"/>
    <w:rsid w:val="004D1191"/>
    <w:rsid w:val="004D6521"/>
    <w:rsid w:val="004E6CEB"/>
    <w:rsid w:val="00505541"/>
    <w:rsid w:val="005948EB"/>
    <w:rsid w:val="005D26A4"/>
    <w:rsid w:val="00626F7F"/>
    <w:rsid w:val="006312BA"/>
    <w:rsid w:val="00633746"/>
    <w:rsid w:val="0065011F"/>
    <w:rsid w:val="006630F5"/>
    <w:rsid w:val="0066606B"/>
    <w:rsid w:val="00675406"/>
    <w:rsid w:val="00681539"/>
    <w:rsid w:val="006B600A"/>
    <w:rsid w:val="007813C3"/>
    <w:rsid w:val="007B451D"/>
    <w:rsid w:val="007C533F"/>
    <w:rsid w:val="00846EDE"/>
    <w:rsid w:val="00867DBD"/>
    <w:rsid w:val="008B28F1"/>
    <w:rsid w:val="008F38AA"/>
    <w:rsid w:val="008F3AD5"/>
    <w:rsid w:val="009477D5"/>
    <w:rsid w:val="009766BC"/>
    <w:rsid w:val="00A50160"/>
    <w:rsid w:val="00B01B81"/>
    <w:rsid w:val="00B13B1D"/>
    <w:rsid w:val="00B50BC2"/>
    <w:rsid w:val="00BB7E64"/>
    <w:rsid w:val="00BC4A63"/>
    <w:rsid w:val="00BD6CF6"/>
    <w:rsid w:val="00C33EE1"/>
    <w:rsid w:val="00C637DE"/>
    <w:rsid w:val="00CC7BCE"/>
    <w:rsid w:val="00D02410"/>
    <w:rsid w:val="00D41163"/>
    <w:rsid w:val="00D41C17"/>
    <w:rsid w:val="00D8014B"/>
    <w:rsid w:val="00D8374B"/>
    <w:rsid w:val="00E1157D"/>
    <w:rsid w:val="00E435D3"/>
    <w:rsid w:val="00EB12B2"/>
    <w:rsid w:val="00F26A6C"/>
    <w:rsid w:val="00F558FA"/>
    <w:rsid w:val="00F923A3"/>
    <w:rsid w:val="00FD058C"/>
    <w:rsid w:val="00FE49A6"/>
    <w:rsid w:val="EEF60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Salutation"/>
    <w:basedOn w:val="1"/>
    <w:next w:val="1"/>
    <w:link w:val="16"/>
    <w:unhideWhenUsed/>
    <w:qFormat/>
    <w:uiPriority w:val="99"/>
    <w:rPr>
      <w:rFonts w:ascii="仿宋" w:hAnsi="仿宋" w:eastAsia="仿宋"/>
      <w:color w:val="000000" w:themeColor="text1"/>
      <w:sz w:val="32"/>
      <w:szCs w:val="32"/>
      <w14:textFill>
        <w14:solidFill>
          <w14:schemeClr w14:val="tx1"/>
        </w14:solidFill>
      </w14:textFill>
    </w:rPr>
  </w:style>
  <w:style w:type="paragraph" w:styleId="4">
    <w:name w:val="Closing"/>
    <w:basedOn w:val="1"/>
    <w:link w:val="17"/>
    <w:unhideWhenUsed/>
    <w:qFormat/>
    <w:uiPriority w:val="99"/>
    <w:pPr>
      <w:ind w:left="100" w:leftChars="2100"/>
    </w:pPr>
    <w:rPr>
      <w:rFonts w:ascii="仿宋" w:hAnsi="仿宋" w:eastAsia="仿宋"/>
      <w:color w:val="000000" w:themeColor="text1"/>
      <w:sz w:val="32"/>
      <w:szCs w:val="32"/>
      <w14:textFill>
        <w14:solidFill>
          <w14:schemeClr w14:val="tx1"/>
        </w14:solidFill>
      </w14:textFill>
    </w:rPr>
  </w:style>
  <w:style w:type="paragraph" w:styleId="5">
    <w:name w:val="Date"/>
    <w:basedOn w:val="1"/>
    <w:next w:val="1"/>
    <w:link w:val="15"/>
    <w:unhideWhenUsed/>
    <w:qFormat/>
    <w:uiPriority w:val="99"/>
    <w:pPr>
      <w:ind w:left="100" w:leftChars="25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unhideWhenUsed/>
    <w:qFormat/>
    <w:uiPriority w:val="99"/>
    <w:rPr>
      <w:color w:val="0000FF"/>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List Paragraph"/>
    <w:basedOn w:val="1"/>
    <w:qFormat/>
    <w:uiPriority w:val="34"/>
    <w:pPr>
      <w:ind w:firstLine="420" w:firstLineChars="200"/>
    </w:pPr>
  </w:style>
  <w:style w:type="character" w:customStyle="1" w:styleId="13">
    <w:name w:val="页眉 字符"/>
    <w:basedOn w:val="8"/>
    <w:link w:val="7"/>
    <w:qFormat/>
    <w:uiPriority w:val="99"/>
    <w:rPr>
      <w:sz w:val="18"/>
      <w:szCs w:val="18"/>
    </w:rPr>
  </w:style>
  <w:style w:type="character" w:customStyle="1" w:styleId="14">
    <w:name w:val="页脚 字符"/>
    <w:basedOn w:val="8"/>
    <w:link w:val="6"/>
    <w:qFormat/>
    <w:uiPriority w:val="99"/>
    <w:rPr>
      <w:sz w:val="18"/>
      <w:szCs w:val="18"/>
    </w:rPr>
  </w:style>
  <w:style w:type="character" w:customStyle="1" w:styleId="15">
    <w:name w:val="日期 字符"/>
    <w:basedOn w:val="8"/>
    <w:link w:val="5"/>
    <w:semiHidden/>
    <w:qFormat/>
    <w:uiPriority w:val="99"/>
  </w:style>
  <w:style w:type="character" w:customStyle="1" w:styleId="16">
    <w:name w:val="称呼 字符"/>
    <w:basedOn w:val="8"/>
    <w:link w:val="3"/>
    <w:qFormat/>
    <w:uiPriority w:val="99"/>
    <w:rPr>
      <w:rFonts w:ascii="仿宋" w:hAnsi="仿宋" w:eastAsia="仿宋"/>
      <w:color w:val="000000" w:themeColor="text1"/>
      <w:sz w:val="32"/>
      <w:szCs w:val="32"/>
      <w14:textFill>
        <w14:solidFill>
          <w14:schemeClr w14:val="tx1"/>
        </w14:solidFill>
      </w14:textFill>
    </w:rPr>
  </w:style>
  <w:style w:type="character" w:customStyle="1" w:styleId="17">
    <w:name w:val="结束语 字符"/>
    <w:basedOn w:val="8"/>
    <w:link w:val="4"/>
    <w:qFormat/>
    <w:uiPriority w:val="99"/>
    <w:rPr>
      <w:rFonts w:ascii="仿宋" w:hAnsi="仿宋" w:eastAsia="仿宋"/>
      <w:color w:val="000000" w:themeColor="text1"/>
      <w:sz w:val="32"/>
      <w:szCs w:val="32"/>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723</Words>
  <Characters>4122</Characters>
  <Lines>34</Lines>
  <Paragraphs>9</Paragraphs>
  <TotalTime>0</TotalTime>
  <ScaleCrop>false</ScaleCrop>
  <LinksUpToDate>false</LinksUpToDate>
  <CharactersWithSpaces>4836</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2021-05-13T16:11:00Z</dcterms:created>
  <dc:creator>唐灿</dc:creator>
  <cp:lastModifiedBy>jialan</cp:lastModifiedBy>
  <dcterms:modified xsi:type="dcterms:W3CDTF">2021-05-17T14:06:54Z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